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161" w:rsidRDefault="005D6161" w:rsidP="0065224C">
      <w:pPr>
        <w:widowControl w:val="0"/>
        <w:tabs>
          <w:tab w:val="center" w:pos="4982"/>
        </w:tabs>
        <w:rPr>
          <w:rFonts w:ascii="CG Times" w:hAnsi="CG Times"/>
          <w:vanish/>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Section</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center" w:pos="2376"/>
        </w:tabs>
        <w:rPr>
          <w:rFonts w:ascii="CG Times" w:hAnsi="CG Times"/>
          <w:sz w:val="22"/>
        </w:rPr>
      </w:pPr>
      <w:r>
        <w:rPr>
          <w:rFonts w:ascii="CG Times" w:hAnsi="CG Times"/>
          <w:sz w:val="22"/>
        </w:rPr>
        <w:tab/>
      </w:r>
      <w:r>
        <w:rPr>
          <w:rFonts w:ascii="CG Times" w:hAnsi="CG Times"/>
          <w:b/>
          <w:i/>
          <w:sz w:val="22"/>
        </w:rPr>
        <w:t>Building Code</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ind w:left="1296" w:hanging="1296"/>
        <w:rPr>
          <w:rFonts w:ascii="CG Times" w:hAnsi="CG Times"/>
          <w:sz w:val="22"/>
        </w:rPr>
      </w:pPr>
      <w:r>
        <w:rPr>
          <w:rFonts w:ascii="CG Times" w:hAnsi="CG Times"/>
          <w:sz w:val="22"/>
        </w:rPr>
        <w:tab/>
        <w:t>150.01</w:t>
      </w:r>
      <w:r>
        <w:rPr>
          <w:rFonts w:ascii="CG Times" w:hAnsi="CG Times"/>
          <w:sz w:val="22"/>
        </w:rPr>
        <w:tab/>
        <w:t>County Building Code adopted</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ind w:left="1296" w:hanging="1296"/>
        <w:rPr>
          <w:rFonts w:ascii="CG Times" w:hAnsi="CG Times"/>
          <w:sz w:val="22"/>
        </w:rPr>
      </w:pPr>
      <w:r>
        <w:rPr>
          <w:rFonts w:ascii="CG Times" w:hAnsi="CG Times"/>
          <w:sz w:val="22"/>
        </w:rPr>
        <w:tab/>
        <w:t>150.02</w:t>
      </w:r>
      <w:r>
        <w:rPr>
          <w:rFonts w:ascii="CG Times" w:hAnsi="CG Times"/>
          <w:sz w:val="22"/>
        </w:rPr>
        <w:tab/>
        <w:t>Building Inspector</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center" w:pos="2376"/>
        </w:tabs>
        <w:rPr>
          <w:rFonts w:ascii="CG Times" w:hAnsi="CG Times"/>
          <w:sz w:val="22"/>
        </w:rPr>
      </w:pPr>
      <w:r>
        <w:rPr>
          <w:rFonts w:ascii="CG Times" w:hAnsi="CG Times"/>
          <w:sz w:val="22"/>
        </w:rPr>
        <w:tab/>
      </w:r>
      <w:r>
        <w:rPr>
          <w:rFonts w:ascii="CG Times" w:hAnsi="CG Times"/>
          <w:b/>
          <w:i/>
          <w:sz w:val="22"/>
        </w:rPr>
        <w:t>Property Numbering</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ind w:left="1296" w:hanging="1296"/>
        <w:rPr>
          <w:rFonts w:ascii="CG Times" w:hAnsi="CG Times"/>
          <w:sz w:val="22"/>
        </w:rPr>
      </w:pPr>
      <w:r>
        <w:rPr>
          <w:rFonts w:ascii="CG Times" w:hAnsi="CG Times"/>
          <w:sz w:val="22"/>
        </w:rPr>
        <w:tab/>
        <w:t>150.15</w:t>
      </w:r>
      <w:r>
        <w:rPr>
          <w:rFonts w:ascii="CG Times" w:hAnsi="CG Times"/>
          <w:sz w:val="22"/>
        </w:rPr>
        <w:tab/>
        <w:t>Map</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ind w:left="1296" w:hanging="1296"/>
        <w:rPr>
          <w:rFonts w:ascii="CG Times" w:hAnsi="CG Times"/>
          <w:sz w:val="22"/>
        </w:rPr>
      </w:pPr>
      <w:r>
        <w:rPr>
          <w:rFonts w:ascii="CG Times" w:hAnsi="CG Times"/>
          <w:sz w:val="22"/>
        </w:rPr>
        <w:tab/>
        <w:t>150.16</w:t>
      </w:r>
      <w:r>
        <w:rPr>
          <w:rFonts w:ascii="CG Times" w:hAnsi="CG Times"/>
          <w:sz w:val="22"/>
        </w:rPr>
        <w:tab/>
        <w:t>Numbering system</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ind w:left="1296" w:hanging="1296"/>
        <w:rPr>
          <w:rFonts w:ascii="CG Times" w:hAnsi="CG Times"/>
          <w:sz w:val="22"/>
        </w:rPr>
      </w:pPr>
      <w:r>
        <w:rPr>
          <w:rFonts w:ascii="CG Times" w:hAnsi="CG Times"/>
          <w:sz w:val="22"/>
        </w:rPr>
        <w:tab/>
        <w:t>150.17</w:t>
      </w:r>
      <w:r>
        <w:rPr>
          <w:rFonts w:ascii="CG Times" w:hAnsi="CG Times"/>
          <w:sz w:val="22"/>
        </w:rPr>
        <w:tab/>
        <w:t>Owner to display number</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ind w:left="1296" w:hanging="1296"/>
        <w:rPr>
          <w:rFonts w:ascii="CG Times" w:hAnsi="CG Times"/>
          <w:sz w:val="22"/>
        </w:rPr>
      </w:pPr>
      <w:r>
        <w:rPr>
          <w:rFonts w:ascii="CG Times" w:hAnsi="CG Times"/>
          <w:sz w:val="22"/>
        </w:rPr>
        <w:tab/>
        <w:t>150.18</w:t>
      </w:r>
      <w:r>
        <w:rPr>
          <w:rFonts w:ascii="CG Times" w:hAnsi="CG Times"/>
          <w:sz w:val="22"/>
        </w:rPr>
        <w:tab/>
        <w:t>Numbers for future buildings</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ind w:left="1296" w:hanging="1296"/>
        <w:rPr>
          <w:rFonts w:ascii="CG Times" w:hAnsi="CG Times"/>
          <w:sz w:val="22"/>
        </w:rPr>
      </w:pPr>
      <w:r>
        <w:rPr>
          <w:rFonts w:ascii="CG Times" w:hAnsi="CG Times"/>
          <w:sz w:val="22"/>
        </w:rPr>
        <w:tab/>
        <w:t>150.19</w:t>
      </w:r>
      <w:r>
        <w:rPr>
          <w:rFonts w:ascii="CG Times" w:hAnsi="CG Times"/>
          <w:sz w:val="22"/>
        </w:rPr>
        <w:tab/>
        <w:t>Defacing number; prohibited</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center" w:pos="2376"/>
        </w:tabs>
        <w:rPr>
          <w:rFonts w:ascii="CG Times" w:hAnsi="CG Times"/>
          <w:sz w:val="22"/>
        </w:rPr>
      </w:pPr>
      <w:r>
        <w:rPr>
          <w:rFonts w:ascii="CG Times" w:hAnsi="CG Times"/>
          <w:sz w:val="22"/>
        </w:rPr>
        <w:tab/>
      </w:r>
      <w:r>
        <w:rPr>
          <w:rFonts w:ascii="CG Times" w:hAnsi="CG Times"/>
          <w:b/>
          <w:i/>
          <w:sz w:val="22"/>
        </w:rPr>
        <w:t>Fire Limits</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ind w:left="1296" w:hanging="1296"/>
        <w:rPr>
          <w:rFonts w:ascii="CG Times" w:hAnsi="CG Times"/>
          <w:sz w:val="22"/>
        </w:rPr>
      </w:pPr>
      <w:r>
        <w:rPr>
          <w:rFonts w:ascii="CG Times" w:hAnsi="CG Times"/>
          <w:sz w:val="22"/>
        </w:rPr>
        <w:tab/>
        <w:t>150.30</w:t>
      </w:r>
      <w:r>
        <w:rPr>
          <w:rFonts w:ascii="CG Times" w:hAnsi="CG Times"/>
          <w:sz w:val="22"/>
        </w:rPr>
        <w:tab/>
        <w:t>Description</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ind w:left="1296" w:hanging="1296"/>
        <w:rPr>
          <w:rFonts w:ascii="CG Times" w:hAnsi="CG Times"/>
          <w:sz w:val="22"/>
        </w:rPr>
      </w:pPr>
      <w:r>
        <w:rPr>
          <w:rFonts w:ascii="CG Times" w:hAnsi="CG Times"/>
          <w:sz w:val="22"/>
        </w:rPr>
        <w:tab/>
        <w:t>150.31</w:t>
      </w:r>
      <w:r>
        <w:rPr>
          <w:rFonts w:ascii="CG Times" w:hAnsi="CG Times"/>
          <w:sz w:val="22"/>
        </w:rPr>
        <w:tab/>
        <w:t>Regulations</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i/>
          <w:sz w:val="22"/>
        </w:rPr>
      </w:pPr>
      <w:r>
        <w:rPr>
          <w:rFonts w:ascii="CG Times" w:hAnsi="CG Times"/>
          <w:b/>
          <w:i/>
          <w:sz w:val="22"/>
        </w:rPr>
        <w:t>Cross-reference:</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i/>
          <w:sz w:val="22"/>
        </w:rPr>
      </w:pPr>
      <w:r>
        <w:rPr>
          <w:rFonts w:ascii="CG Times" w:hAnsi="CG Times"/>
          <w:i/>
          <w:sz w:val="22"/>
        </w:rPr>
        <w:tab/>
        <w:t>Streets and sidewalks, see Ch. 98</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i/>
          <w:sz w:val="22"/>
        </w:rPr>
      </w:pPr>
      <w:r>
        <w:rPr>
          <w:rFonts w:ascii="CG Times" w:hAnsi="CG Times"/>
          <w:i/>
          <w:sz w:val="22"/>
        </w:rPr>
        <w:tab/>
        <w:t>Subdivisions, see Ch. 152</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i/>
          <w:sz w:val="22"/>
        </w:rPr>
      </w:pPr>
      <w:r>
        <w:rPr>
          <w:rFonts w:ascii="CG Times" w:hAnsi="CG Times"/>
          <w:i/>
          <w:sz w:val="22"/>
        </w:rPr>
        <w:tab/>
        <w:t>Water and sewers, see Ch. 53</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i/>
          <w:sz w:val="22"/>
        </w:rPr>
        <w:tab/>
        <w:t>Zoning code, see Ch. 153</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jc w:val="both"/>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jc w:val="both"/>
        <w:rPr>
          <w:rFonts w:ascii="CG Times" w:hAnsi="CG Times"/>
          <w:sz w:val="22"/>
        </w:rPr>
      </w:pPr>
    </w:p>
    <w:p w:rsidR="005D6161" w:rsidRDefault="005D6161" w:rsidP="005D6161">
      <w:pPr>
        <w:widowControl w:val="0"/>
        <w:tabs>
          <w:tab w:val="center" w:pos="2376"/>
        </w:tabs>
        <w:jc w:val="center"/>
        <w:rPr>
          <w:rFonts w:ascii="CG Times" w:hAnsi="CG Times"/>
          <w:sz w:val="22"/>
        </w:rPr>
      </w:pPr>
      <w:r>
        <w:rPr>
          <w:rFonts w:ascii="CG Times" w:hAnsi="CG Times"/>
          <w:b/>
          <w:i/>
          <w:sz w:val="22"/>
        </w:rPr>
        <w:t>BUILDING CODE</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b/>
          <w:sz w:val="22"/>
        </w:rPr>
      </w:pPr>
      <w:r>
        <w:rPr>
          <w:rFonts w:ascii="CG Times" w:hAnsi="CG Times"/>
          <w:b/>
          <w:sz w:val="22"/>
        </w:rPr>
        <w:t xml:space="preserve">§ </w:t>
      </w:r>
      <w:proofErr w:type="gramStart"/>
      <w:r>
        <w:rPr>
          <w:rFonts w:ascii="CG Times" w:hAnsi="CG Times"/>
          <w:b/>
          <w:sz w:val="22"/>
        </w:rPr>
        <w:t>150.01  COUNTY</w:t>
      </w:r>
      <w:proofErr w:type="gramEnd"/>
      <w:r>
        <w:rPr>
          <w:rFonts w:ascii="CG Times" w:hAnsi="CG Times"/>
          <w:b/>
          <w:sz w:val="22"/>
        </w:rPr>
        <w:t xml:space="preserve"> BUILDING CODE ADOPTED.</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The County Building Code and amendments and revisions thereto are hereby adopted by reference and included in this chapter as if set forth in their entirety herein. (Motion passed 5-14-87)</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b/>
          <w:sz w:val="22"/>
        </w:rPr>
      </w:pPr>
      <w:r>
        <w:rPr>
          <w:rFonts w:ascii="CG Times" w:hAnsi="CG Times"/>
          <w:b/>
          <w:sz w:val="22"/>
        </w:rPr>
        <w:t xml:space="preserve">§ </w:t>
      </w:r>
      <w:proofErr w:type="gramStart"/>
      <w:r>
        <w:rPr>
          <w:rFonts w:ascii="CG Times" w:hAnsi="CG Times"/>
          <w:b/>
          <w:sz w:val="22"/>
        </w:rPr>
        <w:t>150.02  BUILDING</w:t>
      </w:r>
      <w:proofErr w:type="gramEnd"/>
      <w:r>
        <w:rPr>
          <w:rFonts w:ascii="CG Times" w:hAnsi="CG Times"/>
          <w:b/>
          <w:sz w:val="22"/>
        </w:rPr>
        <w:t xml:space="preserve"> INSPECTOR.</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t>(A)</w:t>
      </w:r>
      <w:r>
        <w:rPr>
          <w:rFonts w:ascii="CG Times" w:hAnsi="CG Times"/>
          <w:sz w:val="22"/>
        </w:rPr>
        <w:tab/>
        <w:t>The officer or employee, as the Board of Aldermen has appointed, the Wayne County Building Inspector and he shall possess all the powers conferred and perform all the duties prescribed by G.S. § 160A-412 and other statutes applicable thereto.  He shall possess further power and perform further duties as may be prescribed by this chapter.  He shall receive the fees allowed by statute.</w:t>
      </w:r>
      <w:r w:rsidR="00463125">
        <w:rPr>
          <w:rFonts w:ascii="CG Times" w:hAnsi="CG Times"/>
          <w:sz w:val="22"/>
        </w:rPr>
        <w:t xml:space="preserve"> (Ord. revised 5-15-18)</w:t>
      </w:r>
      <w:bookmarkStart w:id="0" w:name="_GoBack"/>
      <w:bookmarkEnd w:id="0"/>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t>(B)</w:t>
      </w:r>
      <w:r>
        <w:rPr>
          <w:rFonts w:ascii="CG Times" w:hAnsi="CG Times"/>
          <w:sz w:val="22"/>
        </w:rPr>
        <w:tab/>
        <w:t>The Inspector or his deputy shall have the right to enter, at all reasonable times, any building structure or premises, within the town, for the purpose of inspecting, or in the performance of his duties.  He shall make or cause to be made the inspection of all chimneys, flues, steam, and fire openings within the town.</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t>(C)</w:t>
      </w:r>
      <w:r>
        <w:rPr>
          <w:rFonts w:ascii="CG Times" w:hAnsi="CG Times"/>
          <w:sz w:val="22"/>
        </w:rPr>
        <w:tab/>
        <w:t>He may, when occasion requires, appoint a deputy or deputies, to perform any part of his duties.</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t>(D)</w:t>
      </w:r>
      <w:r>
        <w:rPr>
          <w:rFonts w:ascii="CG Times" w:hAnsi="CG Times"/>
          <w:sz w:val="22"/>
        </w:rPr>
        <w:tab/>
        <w:t>The Board of Aldermen for the town shall from time to time appoint a person to perform all duties and responsibilities conferred upon the Building Inspector in the code of ordinances for the town not performed by the county. ('85 Code, § 150.02)  (Am. Ord. passed 11-12-87)</w:t>
      </w:r>
    </w:p>
    <w:p w:rsidR="009A6957" w:rsidRDefault="009A6957"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center" w:pos="2390"/>
        </w:tabs>
        <w:jc w:val="center"/>
        <w:rPr>
          <w:rFonts w:ascii="CG Times" w:hAnsi="CG Times"/>
          <w:sz w:val="22"/>
        </w:rPr>
      </w:pPr>
      <w:r>
        <w:rPr>
          <w:rFonts w:ascii="CG Times" w:hAnsi="CG Times"/>
          <w:b/>
          <w:i/>
          <w:sz w:val="22"/>
        </w:rPr>
        <w:lastRenderedPageBreak/>
        <w:t>PROPERTY NUMBERING</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b/>
          <w:sz w:val="22"/>
        </w:rPr>
      </w:pPr>
      <w:r>
        <w:rPr>
          <w:rFonts w:ascii="CG Times" w:hAnsi="CG Times"/>
          <w:b/>
          <w:sz w:val="22"/>
        </w:rPr>
        <w:t xml:space="preserve">§ </w:t>
      </w:r>
      <w:proofErr w:type="gramStart"/>
      <w:r>
        <w:rPr>
          <w:rFonts w:ascii="CG Times" w:hAnsi="CG Times"/>
          <w:b/>
          <w:sz w:val="22"/>
        </w:rPr>
        <w:t>150.15  MAP</w:t>
      </w:r>
      <w:proofErr w:type="gramEnd"/>
      <w:r>
        <w:rPr>
          <w:rFonts w:ascii="CG Times" w:hAnsi="CG Times"/>
          <w:b/>
          <w:sz w:val="22"/>
        </w:rPr>
        <w:t>.</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vanish/>
          <w:sz w:val="22"/>
        </w:rPr>
      </w:pPr>
      <w:r>
        <w:rPr>
          <w:rFonts w:ascii="CG Times" w:hAnsi="CG Times"/>
          <w:sz w:val="22"/>
        </w:rPr>
        <w:t xml:space="preserve">The property-numbering map entitled “Property Numbering Map,” dated May 1, 1979, Fremont, North Carolina, is adopted as the official property-numbering map of the town, and all property numbers assigned shall be assigned in accordance with this numbering map; and no other property numbers shall be used or displayed in the town, except numbers assigned in accordance with the official property-numbering map.  The property-numbering map shall </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roofErr w:type="gramStart"/>
      <w:r>
        <w:rPr>
          <w:rFonts w:ascii="CG Times" w:hAnsi="CG Times"/>
          <w:sz w:val="22"/>
        </w:rPr>
        <w:t>be</w:t>
      </w:r>
      <w:proofErr w:type="gramEnd"/>
      <w:r>
        <w:rPr>
          <w:rFonts w:ascii="CG Times" w:hAnsi="CG Times"/>
          <w:sz w:val="22"/>
        </w:rPr>
        <w:t xml:space="preserve"> kept on file in the office of the town Clerk. ('85 Code, § 150.25)  (Ord. passed 5-10-79)</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i/>
          <w:sz w:val="22"/>
        </w:rPr>
      </w:pPr>
      <w:r>
        <w:rPr>
          <w:rFonts w:ascii="CG Times" w:hAnsi="CG Times"/>
          <w:b/>
          <w:i/>
          <w:sz w:val="22"/>
        </w:rPr>
        <w:t>Cross-reference:</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i/>
          <w:sz w:val="22"/>
        </w:rPr>
        <w:tab/>
        <w:t>Subdivisions, see Ch. 152</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b/>
          <w:sz w:val="22"/>
        </w:rPr>
      </w:pPr>
      <w:r>
        <w:rPr>
          <w:rFonts w:ascii="CG Times" w:hAnsi="CG Times"/>
          <w:b/>
          <w:sz w:val="22"/>
        </w:rPr>
        <w:t xml:space="preserve">§ </w:t>
      </w:r>
      <w:proofErr w:type="gramStart"/>
      <w:r>
        <w:rPr>
          <w:rFonts w:ascii="CG Times" w:hAnsi="CG Times"/>
          <w:b/>
          <w:sz w:val="22"/>
        </w:rPr>
        <w:t>150.16  NUMBERING</w:t>
      </w:r>
      <w:proofErr w:type="gramEnd"/>
      <w:r>
        <w:rPr>
          <w:rFonts w:ascii="CG Times" w:hAnsi="CG Times"/>
          <w:b/>
          <w:sz w:val="22"/>
        </w:rPr>
        <w:t xml:space="preserve"> SYSTEM.</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t>(A)</w:t>
      </w:r>
      <w:r>
        <w:rPr>
          <w:rFonts w:ascii="CG Times" w:hAnsi="CG Times"/>
          <w:sz w:val="22"/>
        </w:rPr>
        <w:tab/>
        <w:t>On the property-numbering map, US 117 is designated as the North-South axis, and Main Street (including NCSR 1359 and NC 222) is designated as the East-West axis:  and all avenues, streets, and alleys running generally north and south shall be numbered from the East-West axis consecutively to the corporate limits of the extremity of the avenue, alley, or street.  Avenues, streets, or alleys running generally east and west shall be numbered from the North-South axis in the same manner.  Wherever possible, 100 numbers shall be allowed to each block so that the number of each consecutive block shall commence with consecutive hundreds and one.</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t>(B)</w:t>
      </w:r>
      <w:r>
        <w:rPr>
          <w:rFonts w:ascii="CG Times" w:hAnsi="CG Times"/>
          <w:sz w:val="22"/>
        </w:rPr>
        <w:tab/>
        <w:t>One whole number shall be assigned to each lot in town. Each parcel of land that has not been subdivided will be assigned a number for each 60 feet of road frontage.  Numbers for lots in a proposed subdivision will be assigned by the Planning Board.  Odd numbers shall be assigned to the west side of the street on all north-south streets, and even numbers to the east side.  On east-west streets, even numbers shall be assigned to the south side of the street and odd numbers to the north side.</w:t>
      </w:r>
      <w:r w:rsidR="009A6957">
        <w:rPr>
          <w:rFonts w:ascii="CG Times" w:hAnsi="CG Times"/>
          <w:sz w:val="22"/>
        </w:rPr>
        <w:t xml:space="preserve"> </w:t>
      </w:r>
      <w:r>
        <w:rPr>
          <w:rFonts w:ascii="CG Times" w:hAnsi="CG Times"/>
          <w:sz w:val="22"/>
        </w:rPr>
        <w:t>('85 Code, § 150.26)  (Ord. passed 5-10-79)</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b/>
          <w:sz w:val="22"/>
        </w:rPr>
      </w:pPr>
      <w:r>
        <w:rPr>
          <w:rFonts w:ascii="CG Times" w:hAnsi="CG Times"/>
          <w:b/>
          <w:sz w:val="22"/>
        </w:rPr>
        <w:t xml:space="preserve">§ </w:t>
      </w:r>
      <w:proofErr w:type="gramStart"/>
      <w:r>
        <w:rPr>
          <w:rFonts w:ascii="CG Times" w:hAnsi="CG Times"/>
          <w:b/>
          <w:sz w:val="22"/>
        </w:rPr>
        <w:t>150.17  OWNER</w:t>
      </w:r>
      <w:proofErr w:type="gramEnd"/>
      <w:r>
        <w:rPr>
          <w:rFonts w:ascii="CG Times" w:hAnsi="CG Times"/>
          <w:b/>
          <w:sz w:val="22"/>
        </w:rPr>
        <w:t xml:space="preserve"> TO DISPLAY NUMBER.</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Every property owner of improved property shall, on or before January 1, 1980, purchase and display in a conspicuous place on the property the numbers assigned.  When the building or structure is located in excess of 50 feet from the road or street, the assigned number will also be displayed on the mailbox, post, or curb at the street.  The minimum size of numbers shall be four inches in height.</w:t>
      </w:r>
      <w:r w:rsidR="009A6957">
        <w:rPr>
          <w:rFonts w:ascii="CG Times" w:hAnsi="CG Times"/>
          <w:sz w:val="22"/>
        </w:rPr>
        <w:t xml:space="preserve"> </w:t>
      </w:r>
      <w:r>
        <w:rPr>
          <w:rFonts w:ascii="CG Times" w:hAnsi="CG Times"/>
          <w:sz w:val="22"/>
        </w:rPr>
        <w:t>('85 Code, § 150.27)  (Ord. passed 5-10-79)</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b/>
          <w:sz w:val="22"/>
        </w:rPr>
      </w:pPr>
      <w:r>
        <w:rPr>
          <w:rFonts w:ascii="CG Times" w:hAnsi="CG Times"/>
          <w:b/>
          <w:sz w:val="22"/>
        </w:rPr>
        <w:t xml:space="preserve">§ </w:t>
      </w:r>
      <w:proofErr w:type="gramStart"/>
      <w:r>
        <w:rPr>
          <w:rFonts w:ascii="CG Times" w:hAnsi="CG Times"/>
          <w:b/>
          <w:sz w:val="22"/>
        </w:rPr>
        <w:t>150.18  NUMBERS</w:t>
      </w:r>
      <w:proofErr w:type="gramEnd"/>
      <w:r>
        <w:rPr>
          <w:rFonts w:ascii="CG Times" w:hAnsi="CG Times"/>
          <w:b/>
          <w:sz w:val="22"/>
        </w:rPr>
        <w:t xml:space="preserve"> FOR FUTURE BUILDINGS.</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All residences, and buildings used for commercial or other purposes, which are erected after the adoption of this subchapter shall be assigned a number in accordance with the property-numbering map.  The owner of a new residence or building shall obtain property numbers from the town Clerk and the owner is responsible for displaying the property numbers as provided in § 150.27 prior to occupying the new residence or building.</w:t>
      </w:r>
      <w:r w:rsidR="0065224C">
        <w:rPr>
          <w:rFonts w:ascii="CG Times" w:hAnsi="CG Times"/>
          <w:sz w:val="22"/>
        </w:rPr>
        <w:t xml:space="preserve"> </w:t>
      </w:r>
      <w:r>
        <w:rPr>
          <w:rFonts w:ascii="CG Times" w:hAnsi="CG Times"/>
          <w:sz w:val="22"/>
        </w:rPr>
        <w:t>('85 Code, § 150.28)  (Ord. passed 5-10-79)</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b/>
          <w:sz w:val="22"/>
        </w:rPr>
      </w:pPr>
      <w:r>
        <w:rPr>
          <w:rFonts w:ascii="CG Times" w:hAnsi="CG Times"/>
          <w:b/>
          <w:sz w:val="22"/>
        </w:rPr>
        <w:t xml:space="preserve">§ </w:t>
      </w:r>
      <w:proofErr w:type="gramStart"/>
      <w:r>
        <w:rPr>
          <w:rFonts w:ascii="CG Times" w:hAnsi="CG Times"/>
          <w:b/>
          <w:sz w:val="22"/>
        </w:rPr>
        <w:t>150.19  DEFACING</w:t>
      </w:r>
      <w:proofErr w:type="gramEnd"/>
      <w:r>
        <w:rPr>
          <w:rFonts w:ascii="CG Times" w:hAnsi="CG Times"/>
          <w:b/>
          <w:sz w:val="22"/>
        </w:rPr>
        <w:t xml:space="preserve"> NUMBER; PROHIBITED.</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It shall be unlawful for any person to alter, deface, or take down any number placed on any property in accordance with this subchapter, except for repair or replacement of the number. ('85 Code, § 150.29)  (Ord. passed 5-10-79)  Penalty, see § 10.99</w:t>
      </w:r>
    </w:p>
    <w:p w:rsidR="005D6161" w:rsidRDefault="005D6161" w:rsidP="005D6161">
      <w:pPr>
        <w:widowControl w:val="0"/>
        <w:tabs>
          <w:tab w:val="center" w:pos="2390"/>
        </w:tabs>
        <w:jc w:val="center"/>
        <w:rPr>
          <w:rFonts w:ascii="CG Times" w:hAnsi="CG Times"/>
          <w:sz w:val="22"/>
        </w:rPr>
      </w:pPr>
      <w:r>
        <w:rPr>
          <w:rFonts w:ascii="CG Times" w:hAnsi="CG Times"/>
          <w:b/>
          <w:i/>
          <w:sz w:val="22"/>
        </w:rPr>
        <w:lastRenderedPageBreak/>
        <w:t>FIRE LIMITS</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b/>
          <w:sz w:val="22"/>
        </w:rPr>
      </w:pPr>
      <w:r>
        <w:rPr>
          <w:rFonts w:ascii="CG Times" w:hAnsi="CG Times"/>
          <w:b/>
          <w:sz w:val="22"/>
        </w:rPr>
        <w:t xml:space="preserve">§ </w:t>
      </w:r>
      <w:proofErr w:type="gramStart"/>
      <w:r>
        <w:rPr>
          <w:rFonts w:ascii="CG Times" w:hAnsi="CG Times"/>
          <w:b/>
          <w:sz w:val="22"/>
        </w:rPr>
        <w:t>150.30  DESCRIPTION</w:t>
      </w:r>
      <w:proofErr w:type="gramEnd"/>
      <w:r>
        <w:rPr>
          <w:rFonts w:ascii="CG Times" w:hAnsi="CG Times"/>
          <w:b/>
          <w:sz w:val="22"/>
        </w:rPr>
        <w:t>.</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t>(A)</w:t>
      </w:r>
      <w:r>
        <w:rPr>
          <w:rFonts w:ascii="CG Times" w:hAnsi="CG Times"/>
          <w:sz w:val="22"/>
        </w:rPr>
        <w:tab/>
        <w:t>It shall be unlawful for any person, firm, or corporation or the agents of such, to construct within the fire limits of the town as hereinafter described any building or structure except as built of brick, metal, tile, stone, or other fireproof material, and after having obtained a permit to erect a building or structure on the premises and meeting all requirements of G.S. §§ 160A-435 and 160A-436.  The fire limits of the town shall be as follows:</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r>
      <w:r>
        <w:rPr>
          <w:rFonts w:ascii="CG Times" w:hAnsi="CG Times"/>
          <w:sz w:val="22"/>
        </w:rPr>
        <w:tab/>
        <w:t>(1)</w:t>
      </w:r>
      <w:r>
        <w:rPr>
          <w:rFonts w:ascii="CG Times" w:hAnsi="CG Times"/>
          <w:sz w:val="22"/>
        </w:rPr>
        <w:tab/>
        <w:t>Primary fire limits.</w:t>
      </w:r>
      <w:r>
        <w:rPr>
          <w:rFonts w:ascii="CG Times" w:hAnsi="CG Times"/>
          <w:sz w:val="22"/>
        </w:rPr>
        <w:tab/>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ind w:left="432"/>
        <w:rPr>
          <w:rFonts w:ascii="CG Times" w:hAnsi="CG Times"/>
          <w:vanish/>
          <w:sz w:val="22"/>
        </w:rPr>
      </w:pPr>
      <w:r>
        <w:rPr>
          <w:rFonts w:ascii="CG Times" w:hAnsi="CG Times"/>
          <w:sz w:val="22"/>
        </w:rPr>
        <w:tab/>
      </w:r>
      <w:r>
        <w:rPr>
          <w:rFonts w:ascii="CG Times" w:hAnsi="CG Times"/>
          <w:sz w:val="22"/>
        </w:rPr>
        <w:tab/>
        <w:t xml:space="preserve">Beginning at a Point (1) on the eastern side of Sycamore Street at its intersection with Carolina Street; thence in a southerly direction parallel with Sycamore Street to a Point (2) on the eastern side of Sycamore Street at its intersection with Main Street, including all properties along the eastern side of Sycamore </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Street; thence in an easterly direction parallel with Main Street to a point (3) on the northern side of Main Street 349 feet from the intersection of Main Street and Sycamore Street, including all properties on the northern side of Main Street; thence in a southerly direction crossing Main Street to a point (4) on the southern side of Main Street 349 feet from the intersection of Main Street and Sycamore Street; thence in a westerly direction parallel with Main Street to a point (5) on Main Street 75 feet from the intersection of Main Street and Sycamore Street, excluding all properties along Main Street between Point (4) and Point (5); thence in a westerly direction parallel with Main Street to a Point (6) at the intersection of Main Street and Sycamore Street, including all properties along Main Street between Point (5) and Point (6); thence in a southerly direction parallel with Sycamore Street to a Point (7) at the intersection of Wane Street including all properties on the eastern side of Sycamore Street; thence in a northerly direction crossing Sycamore Street to a Point (8) 264 feet from the intersection of Sycamore Street and Main Street, including all properties between Main Street and Point (8) on the western side of Sycamore Street; thence in a southerly direction parallel with Sycamore Street to a Point (9) at the intersection of Wayne Street, excluding all properties between Point (8) and Point (9) on the western side of Sycamore Street; thence in a westerly direction parallel with the northern side of Wayne Street to a point (10) 187 feet from the intersection of Wayne Street and Goldsboro Street excluding all properties between Point (9) and Point (10); thence in a southerly direction crossing Wayne Street to a Point (11) 187 feet from the intersection of Wayne Street and Goldsboro Street; thence in a westerly direction parallel with the southern side of Wayne Street to a Point (12) at the intersection of Wayne Street and Goldsboro Street including all properties on both sides of Wayne Street between Point (11) and Point (12); thence in a southern direction parallel with Goldsboro Street 227 feet from the intersection of Wayne Street and Goldsboro Street to a point (13), including properties, on the eastern side of Goldsboro Street between Point (12) and Point (13); thence in a northerly direction parallel with Goldsboro Street, crossing Wayne Street, crossing Main Street and crossing alley to a Point (14) 141 feet from the intersection of Goldsboro Street and Main Street, including all properties on the eastern side of Goldsboro Street between Point (13) and Point (14); thence in a southerly direction to a Point (15) at the intersection of Goldsboro Street and Main Street; thence in an easterly direction parallel with Main Street to a point (16) at the intersection of Main Street and Sycamore Street, including all properties on both sides of Main Street between Point (15) and Point (16); thence in a northerly direction parallel with Sycamore Street to a point (17) 331 feet from the intersection of Main street, including properties on the western side of Sycamore Street between Point (16) and Point (17); thence in a northeasterly direction crossing Sycamore Street to a Point (1), the beginning.</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r>
      <w:r>
        <w:rPr>
          <w:rFonts w:ascii="CG Times" w:hAnsi="CG Times"/>
          <w:sz w:val="22"/>
        </w:rPr>
        <w:tab/>
        <w:t>(2)</w:t>
      </w:r>
      <w:r>
        <w:rPr>
          <w:rFonts w:ascii="CG Times" w:hAnsi="CG Times"/>
          <w:sz w:val="22"/>
        </w:rPr>
        <w:tab/>
        <w:t>Secondary fire limits.</w:t>
      </w:r>
      <w:r>
        <w:rPr>
          <w:rFonts w:ascii="CG Times" w:hAnsi="CG Times"/>
          <w:sz w:val="22"/>
        </w:rPr>
        <w:tab/>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ind w:left="432"/>
        <w:rPr>
          <w:rFonts w:ascii="CG Times" w:hAnsi="CG Times"/>
          <w:sz w:val="22"/>
        </w:rPr>
      </w:pPr>
      <w:r>
        <w:rPr>
          <w:rFonts w:ascii="CG Times" w:hAnsi="CG Times"/>
          <w:sz w:val="22"/>
        </w:rPr>
        <w:tab/>
      </w:r>
      <w:r>
        <w:rPr>
          <w:rFonts w:ascii="CG Times" w:hAnsi="CG Times"/>
          <w:sz w:val="22"/>
        </w:rPr>
        <w:tab/>
        <w:t xml:space="preserve">Beginning at a Point (1) at the intersection of Carolina Street and Wilson Street on the </w:t>
      </w:r>
      <w:r>
        <w:rPr>
          <w:rFonts w:ascii="CG Times" w:hAnsi="CG Times"/>
          <w:sz w:val="22"/>
        </w:rPr>
        <w:lastRenderedPageBreak/>
        <w:t>western side of Wilson Street; thence in a southerly direction parallel with Wilson Street, crossing Main Street to a Point (2) at the intersection of Wilson Street and Wayne Street, including all properties on the western side of Wilson Street between Point (1) and Point (2); thence in a westerly direction parallel with Wayne Street to a Point (3) 274 feet from the intersection of Wilson Street, including all properties on the northern side of Wayne Street between Point (2) and Point (3); thence in a southerly direction crossing Wayne Street to a Point (4) 169 feet west of the intersection of Wilson Street; thence in an easterly direction parallel with Wayne Street to a Point (5) including all properties on the southern side of Wayne Street between Point (4) and Point (5); thence in a southerly direction parallel with Wilson Street to a point (6) at the intersection of Wilson Street and South Street, including all properties on the west side of Wilson Street; thence in a northerly direction along Wilson Street, including all properties described to a Point (1), the beginning.</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ind w:left="432"/>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vanish/>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t>(B)</w:t>
      </w:r>
      <w:r>
        <w:rPr>
          <w:rFonts w:ascii="CG Times" w:hAnsi="CG Times"/>
          <w:sz w:val="22"/>
        </w:rPr>
        <w:tab/>
        <w:t>However, the County Building Inspector shall have the right to issue permits for the erection of buildings within the limits where buildings are erected on premises used as homes within the limits and where the type of building so constructed would not endanger the life or safety of the people.  Any person, firm, or corporation shall have the right to erect any building when approved by the County Building Inspector.</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(Ord. passed 1-9-93; Am. Ord. passed 3-28-95)  Penalty, see § 10.99</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i/>
          <w:sz w:val="22"/>
        </w:rPr>
      </w:pPr>
      <w:r>
        <w:rPr>
          <w:rFonts w:ascii="CG Times" w:hAnsi="CG Times"/>
          <w:b/>
          <w:i/>
          <w:sz w:val="22"/>
        </w:rPr>
        <w:t>Statutory Reference:</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i/>
          <w:sz w:val="22"/>
        </w:rPr>
        <w:sectPr w:rsidR="005D6161" w:rsidSect="005D6161">
          <w:headerReference w:type="default" r:id="rId6"/>
          <w:footerReference w:type="default" r:id="rId7"/>
          <w:pgSz w:w="12240" w:h="15840"/>
          <w:pgMar w:top="1440" w:right="1440" w:bottom="1440" w:left="1440" w:header="720" w:footer="720" w:gutter="0"/>
          <w:cols w:space="720"/>
          <w:docGrid w:linePitch="360"/>
        </w:sect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i/>
          <w:sz w:val="22"/>
        </w:rPr>
        <w:tab/>
        <w:t>Establishment of fire limits, see G.S. § 160A-435</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b/>
          <w:sz w:val="22"/>
        </w:rPr>
      </w:pPr>
      <w:r>
        <w:rPr>
          <w:rFonts w:ascii="CG Times" w:hAnsi="CG Times"/>
          <w:b/>
          <w:sz w:val="22"/>
        </w:rPr>
        <w:t xml:space="preserve">§ </w:t>
      </w:r>
      <w:proofErr w:type="gramStart"/>
      <w:r>
        <w:rPr>
          <w:rFonts w:ascii="CG Times" w:hAnsi="CG Times"/>
          <w:b/>
          <w:sz w:val="22"/>
        </w:rPr>
        <w:t>150.31  REGULATIONS</w:t>
      </w:r>
      <w:proofErr w:type="gramEnd"/>
      <w:r>
        <w:rPr>
          <w:rFonts w:ascii="CG Times" w:hAnsi="CG Times"/>
          <w:b/>
          <w:sz w:val="22"/>
        </w:rPr>
        <w:t>.</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t>No construction or alterations of any kind or description shall be made in the fire district without a building permit, and full compliance with the laws and ordinances governing construction in the town.</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('85 Code, § 94.31)  Penalty, see § 10.99</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i/>
          <w:sz w:val="22"/>
        </w:rPr>
      </w:pPr>
      <w:r>
        <w:rPr>
          <w:rFonts w:ascii="CG Times" w:hAnsi="CG Times"/>
          <w:b/>
          <w:i/>
          <w:sz w:val="22"/>
        </w:rPr>
        <w:t>Statutory reference:</w:t>
      </w:r>
    </w:p>
    <w:p w:rsidR="005D6161" w:rsidRDefault="005D6161" w:rsidP="005D61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i/>
          <w:sz w:val="22"/>
        </w:rPr>
      </w:pPr>
      <w:r>
        <w:rPr>
          <w:rFonts w:ascii="CG Times" w:hAnsi="CG Times"/>
          <w:i/>
          <w:sz w:val="22"/>
        </w:rPr>
        <w:tab/>
        <w:t>Restrictions, see G.S. § 160A-436</w:t>
      </w:r>
    </w:p>
    <w:p w:rsidR="009E5D25" w:rsidRDefault="00463125"/>
    <w:sectPr w:rsidR="009E5D25" w:rsidSect="005D616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286" w:rsidRDefault="003E3286" w:rsidP="005D6161">
      <w:r>
        <w:separator/>
      </w:r>
    </w:p>
  </w:endnote>
  <w:endnote w:type="continuationSeparator" w:id="0">
    <w:p w:rsidR="003E3286" w:rsidRDefault="003E3286" w:rsidP="005D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165583"/>
      <w:docPartObj>
        <w:docPartGallery w:val="Page Numbers (Bottom of Page)"/>
        <w:docPartUnique/>
      </w:docPartObj>
    </w:sdtPr>
    <w:sdtEndPr>
      <w:rPr>
        <w:noProof/>
      </w:rPr>
    </w:sdtEndPr>
    <w:sdtContent>
      <w:p w:rsidR="0065224C" w:rsidRDefault="0065224C">
        <w:pPr>
          <w:pStyle w:val="Footer"/>
          <w:jc w:val="center"/>
        </w:pPr>
        <w:r>
          <w:fldChar w:fldCharType="begin"/>
        </w:r>
        <w:r>
          <w:instrText xml:space="preserve"> PAGE   \* MERGEFORMAT </w:instrText>
        </w:r>
        <w:r>
          <w:fldChar w:fldCharType="separate"/>
        </w:r>
        <w:r w:rsidR="00463125">
          <w:rPr>
            <w:noProof/>
          </w:rPr>
          <w:t>4</w:t>
        </w:r>
        <w:r>
          <w:rPr>
            <w:noProof/>
          </w:rPr>
          <w:fldChar w:fldCharType="end"/>
        </w:r>
      </w:p>
    </w:sdtContent>
  </w:sdt>
  <w:p w:rsidR="0065224C" w:rsidRDefault="00652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286" w:rsidRDefault="003E3286" w:rsidP="005D6161">
      <w:r>
        <w:separator/>
      </w:r>
    </w:p>
  </w:footnote>
  <w:footnote w:type="continuationSeparator" w:id="0">
    <w:p w:rsidR="003E3286" w:rsidRDefault="003E3286" w:rsidP="005D6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161" w:rsidRDefault="005D6161">
    <w:pPr>
      <w:pStyle w:val="Header"/>
    </w:pPr>
    <w:r w:rsidRPr="005D6161">
      <w:rPr>
        <w:b/>
      </w:rPr>
      <w:ptab w:relativeTo="margin" w:alignment="center" w:leader="none"/>
    </w:r>
    <w:r w:rsidRPr="005D6161">
      <w:rPr>
        <w:b/>
      </w:rPr>
      <w:t>CHAPTER 150: BUILDING CODE</w:t>
    </w:r>
    <w:r w:rsidRPr="005D6161">
      <w:rPr>
        <w:b/>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61"/>
    <w:rsid w:val="00006BE4"/>
    <w:rsid w:val="002D28F1"/>
    <w:rsid w:val="003B62CE"/>
    <w:rsid w:val="003D7862"/>
    <w:rsid w:val="003E3286"/>
    <w:rsid w:val="00463125"/>
    <w:rsid w:val="005D6161"/>
    <w:rsid w:val="0065224C"/>
    <w:rsid w:val="009A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314A0-C1F0-44D1-99F8-3419CDCD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16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D6161"/>
    <w:pPr>
      <w:tabs>
        <w:tab w:val="center" w:pos="4680"/>
        <w:tab w:val="right" w:pos="9360"/>
      </w:tabs>
    </w:pPr>
  </w:style>
  <w:style w:type="character" w:customStyle="1" w:styleId="HeaderChar">
    <w:name w:val="Header Char"/>
    <w:basedOn w:val="DefaultParagraphFont"/>
    <w:link w:val="Header"/>
    <w:uiPriority w:val="99"/>
    <w:rsid w:val="005D61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D6161"/>
    <w:pPr>
      <w:tabs>
        <w:tab w:val="center" w:pos="4680"/>
        <w:tab w:val="right" w:pos="9360"/>
      </w:tabs>
    </w:pPr>
  </w:style>
  <w:style w:type="character" w:customStyle="1" w:styleId="FooterChar">
    <w:name w:val="Footer Char"/>
    <w:basedOn w:val="DefaultParagraphFont"/>
    <w:link w:val="Footer"/>
    <w:uiPriority w:val="99"/>
    <w:rsid w:val="005D616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52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Jones</dc:creator>
  <cp:keywords/>
  <dc:description/>
  <cp:lastModifiedBy>Marti Jones</cp:lastModifiedBy>
  <cp:revision>4</cp:revision>
  <cp:lastPrinted>2018-05-18T20:20:00Z</cp:lastPrinted>
  <dcterms:created xsi:type="dcterms:W3CDTF">2018-05-01T15:17:00Z</dcterms:created>
  <dcterms:modified xsi:type="dcterms:W3CDTF">2018-05-18T20:21:00Z</dcterms:modified>
</cp:coreProperties>
</file>